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2089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0069-01-2026-009056-47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город Сургут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 Думлер 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алина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>авловна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находящийся по адресу: ХМАО-Югра, г. Сургут, ул. Гагарина, д. 9, каб. 402,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26 </w:t>
      </w:r>
      <w:r>
        <w:rPr>
          <w:rFonts w:ascii="Times New Roman" w:eastAsia="Times New Roman" w:hAnsi="Times New Roman" w:cs="Times New Roman"/>
          <w:sz w:val="25"/>
          <w:szCs w:val="25"/>
        </w:rPr>
        <w:t>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19.5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отношении: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Гараева Малика Шахлар оглы,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родившегося </w:t>
      </w:r>
      <w:r>
        <w:rPr>
          <w:rStyle w:val="cat-UserDefinedgrp-47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UserDefinedgrp-48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 </w:t>
      </w: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709"/>
        <w:jc w:val="center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05.08.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2026 года в 00 час. 01 мин. Гараев М.Ш., </w:t>
      </w:r>
      <w:r>
        <w:rPr>
          <w:rFonts w:ascii="Times New Roman" w:eastAsia="Times New Roman" w:hAnsi="Times New Roman" w:cs="Times New Roman"/>
          <w:sz w:val="25"/>
          <w:szCs w:val="25"/>
        </w:rPr>
        <w:t>фактически проживающий по адресу</w:t>
      </w:r>
      <w:r>
        <w:rPr>
          <w:rFonts w:ascii="Times New Roman" w:eastAsia="Times New Roman" w:hAnsi="Times New Roman" w:cs="Times New Roman"/>
          <w:sz w:val="25"/>
          <w:szCs w:val="25"/>
        </w:rPr>
        <w:t>: ХМАО-Югра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г. Сургут, </w:t>
      </w:r>
      <w:r>
        <w:rPr>
          <w:rStyle w:val="cat-UserDefinedgrp-48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повторно в течении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допустил нарушение требования земельного законодательства в форме бездействия, выраженное в невыполнении требований предписания государственного инспектора по использованию и охране земель в городе Сургуте и Сургутском районе от 04.06.2026 года № 39/14 по устранению нарушения земельного законодательства на земельном участке, расположенном по адресу: ХМАО-Югра, г. Сургут, жилой квартал 30Г по существу самовольного занятия части кадастрового квартала </w:t>
      </w:r>
      <w:r>
        <w:rPr>
          <w:rStyle w:val="cat-UserDefinedgrp-49rplc-2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площадью 10,592 кв.м., путем расширения границ хозяйственного двора, не имея предусмотренных законодательством Российской Федерации прав на указанный земельный участок. Также контролируемое лицо вновь допустило нарушение, выраженное в использовании земельного участка не в соответствии с его принадлежностью к той или иной категории земель и (или) разрешенным использованием, путем </w:t>
      </w:r>
      <w:r>
        <w:rPr>
          <w:rFonts w:ascii="Times New Roman" w:eastAsia="Times New Roman" w:hAnsi="Times New Roman" w:cs="Times New Roman"/>
          <w:sz w:val="25"/>
          <w:szCs w:val="25"/>
        </w:rPr>
        <w:t>ведения деятельности, указанной в классификаторе как «Автомобильные мойки»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«Ремонт автомобилей», а именно под размещение автомобильной мойки и мастерской для ремонта автомобилей, тем самым совершил административное правонарушение, ответственность за которое предусмотрена ч. 26 ст. 19.5 КоАП РФ.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Гараев М.Ш.</w:t>
      </w:r>
      <w:r>
        <w:rPr>
          <w:rFonts w:ascii="Times New Roman" w:eastAsia="Times New Roman" w:hAnsi="Times New Roman" w:cs="Times New Roman"/>
          <w:sz w:val="25"/>
          <w:szCs w:val="25"/>
        </w:rPr>
        <w:t>, извещенный о времени и месте рассмотрения дела надлежащим образом, а именно судебной повесткой, 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 судебное заседание не явился,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п. 6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>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N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343.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вышеизложенного, мировой 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Гараева М.Ш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Гараева М.Ш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в совершении правонарушения суду представлены следующие документы: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5"/>
          <w:szCs w:val="25"/>
        </w:rPr>
        <w:t>06.10.2026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</w:t>
      </w:r>
      <w:r>
        <w:rPr>
          <w:rFonts w:ascii="Times New Roman" w:eastAsia="Times New Roman" w:hAnsi="Times New Roman" w:cs="Times New Roman"/>
          <w:sz w:val="25"/>
          <w:szCs w:val="25"/>
        </w:rPr>
        <w:t>ода № 18/85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списка внутренних почтовых отправлений от 06.10.2026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отчет об отслеживании почтового отправления;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извещение о явке на составление протокола об административном правонарушении от 21.09.2026 года № 14;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отчет об отслеживании почтового отправления;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списка внутренних почтовых отправлений от 21.09.2026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служебная записка государственного инспектора по использованию и охране земель в городе Сургуте и Сургутском районе от 06.10.2026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предписание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государственного инспектора по использованию и охране земель в городе Сургуте и Сургутском районе об устранении выявленного нарушения требований земельного законодательства Российской Федерации № 39/14 от 04.06.2026 года, со срок исполнения указанного в нем нарушения до 04.08.2026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сопроводительное письмо о направлении документа от 04.06.2026 года исх. № 03/00529/26;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задания заместителя руководителя Управления Федеральной службы государственной регистрации, кадастра и картографии по ХМАО-Югре на проведение в рамках федерального государственного земельного контроля (надзора) наблюдения за соблюдением обязательных требований от 04.09.2026 года № 3-01/10-0404/26;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задания заместителя руководителя Управления Федеральной службы государственной регистрации, кадастра и картографии по ХМАО-Югре на проведение в рамках федерального государственного земельного контроля (надзора) выездного обследования от 04.09.2026 года № 3-01/10-0405/26;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акт наблюдения главного специалиста-эксперта Управления Федеральной службы государственной регистрации, кадастра и картографии по ХМАО-Югре за соблюдением обязательных требований (мониторинг безопасности) от 21.09.2026 года;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заключение государственного инспектора по использованию и охране земель в городе Сургуте и Сургутском районе по результатам проведения контрольного (надзорного) мероприятия без взаимодействия с контролируемым лицом от 16.09.2026 года № 57;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протокол осмотра государственного инспектора по использованию и охране земель в городе Сургуте и Сургутском районе от 16.09.2026 года при проведении КНМ без взаимодействия с контролируемым лицом к заключению о результатах контрольного (надзорного) мероприятия № 57 от 16.09.2026 года с фото таблицей;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инструментального обследования государственного инспектора по использованию и охране земель в городе Сургуте и Сургутском районе от 16.09.2026 года при проведении КНМ без взаимодействия с контролируемым лицом к заключению о результатах контрольного (надзорного) мероприятия № 57 от 16.09.2026 года;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- копия свидетельства о поверке № С.ВЮМ/03-08-2026/550222135;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 </w:t>
      </w:r>
      <w:r>
        <w:rPr>
          <w:rFonts w:ascii="Times New Roman" w:eastAsia="Times New Roman" w:hAnsi="Times New Roman" w:cs="Times New Roman"/>
          <w:sz w:val="25"/>
          <w:szCs w:val="25"/>
        </w:rPr>
        <w:t>выписк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из ЕГРН, согласно которой у земельного участка с кадастровым номером </w:t>
      </w:r>
      <w:r>
        <w:rPr>
          <w:rStyle w:val="cat-UserDefinedgrp-49rplc-6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UserDefinedgrp-50rplc-6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расположенном по адресу: ХМАО-Югра, г. Сургут, жилой квартал 30Г, вид разрешенного использования: для строительства индивидуального жилого дома;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 вступившего в законную силу 03.02.2026 года </w:t>
      </w:r>
      <w:r>
        <w:rPr>
          <w:rFonts w:ascii="Times New Roman" w:eastAsia="Times New Roman" w:hAnsi="Times New Roman" w:cs="Times New Roman"/>
          <w:sz w:val="25"/>
          <w:szCs w:val="25"/>
        </w:rPr>
        <w:t>постановления мирового судьи судебного участка № 14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ХМАО-Югры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Гараев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М.Ш.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ч. 25 ст. 19.5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Оценивая в совокупности представленные доказательства,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п. 3 ст. 3 ЗК РФ имущественные отношения по владению, пользованию и распоряжению земельными участками, а также по совершению сделок с ними регулируются гражданским законодательством, если иное не предусмотрено земельным, лесным, водным законодательством, законодательством о недрах, об охране окружающей среды, специальными федеральными законами.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п. 1 ст. 263 ГК РФ 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260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ГК РФ</w:t>
      </w:r>
      <w:r>
        <w:rPr>
          <w:rFonts w:ascii="Times New Roman" w:eastAsia="Times New Roman" w:hAnsi="Times New Roman" w:cs="Times New Roman"/>
          <w:sz w:val="25"/>
          <w:szCs w:val="25"/>
        </w:rPr>
        <w:t>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п. 2 ст. 7 ЗК РФ земли используются в соответствии с установленным для них целевым назначением. Правовой режим земель определяется исходя из их принадлежности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 законами и требованиями специальных федеральных законов. При этом собственники земельных участков и землепользователи не имеют права самовольно изменять целевое назначение земельного участка. 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недвижимости. Внесение в Единый государственный реестр недвижимости сведений вспомогательных видах разрешенного использования земельного участка не требуется.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42 З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 </w:t>
      </w:r>
      <w:r>
        <w:rPr>
          <w:rFonts w:ascii="Times New Roman" w:eastAsia="Times New Roman" w:hAnsi="Times New Roman" w:cs="Times New Roman"/>
          <w:sz w:val="25"/>
          <w:szCs w:val="25"/>
        </w:rPr>
        <w:t>РФ,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силу ст. 95 </w:t>
      </w:r>
      <w:r>
        <w:rPr>
          <w:rFonts w:ascii="Times New Roman" w:eastAsia="Times New Roman" w:hAnsi="Times New Roman" w:cs="Times New Roman"/>
          <w:sz w:val="25"/>
          <w:szCs w:val="25"/>
        </w:rPr>
        <w:t>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едерального закона от 31.07.2020 г. № 248-ФЗ «О государственном контроле (надзоре) и муниципальном контроле в Российской Федерации» (далее – ФЗ № 95) по истечении срока исполнения контролируемым лицом решения, принятого в соответствии с 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 ч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90 </w:t>
      </w:r>
      <w:r>
        <w:rPr>
          <w:rFonts w:ascii="Times New Roman" w:eastAsia="Times New Roman" w:hAnsi="Times New Roman" w:cs="Times New Roman"/>
          <w:sz w:val="25"/>
          <w:szCs w:val="25"/>
        </w:rPr>
        <w:t>этого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(надзорный) орган оценивает исполнение указанного решения путем проведения одного из контрольных (надзорных) мероприятий, предусмотренных 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.п. </w:t>
      </w:r>
      <w:r>
        <w:rPr>
          <w:rFonts w:ascii="Times New Roman" w:eastAsia="Times New Roman" w:hAnsi="Times New Roman" w:cs="Times New Roman"/>
          <w:sz w:val="25"/>
          <w:szCs w:val="25"/>
        </w:rPr>
        <w:t>1 - 6 ч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56 </w:t>
      </w:r>
      <w:r>
        <w:rPr>
          <w:rFonts w:ascii="Times New Roman" w:eastAsia="Times New Roman" w:hAnsi="Times New Roman" w:cs="Times New Roman"/>
          <w:sz w:val="25"/>
          <w:szCs w:val="25"/>
        </w:rPr>
        <w:t>данного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закона. В случае, если проводится оценка исполнения решения, принятого по итогам выездной проверки, допускается проведение выездной проверки.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этом в случае, если по итогам проведения контрольного (надзорного) мероприятия, предусмотренного ч. 1 ст. 95 ФЗ № 95, контрольным (надзорным) органом будет установлено, что решение не исполнено или исполнено ненадлежащим образом, он вновь выдает контролируемому лицу решение, предусмотренного п. 1 ч. 2 ст. 90 ФЗ № 95, с указанием новых сроков его исполнения.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5"/>
          <w:szCs w:val="25"/>
        </w:rPr>
        <w:t>исследовав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представленные доказательства,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считает доказанной вину </w:t>
      </w:r>
      <w:r>
        <w:rPr>
          <w:rFonts w:ascii="Times New Roman" w:eastAsia="Times New Roman" w:hAnsi="Times New Roman" w:cs="Times New Roman"/>
          <w:sz w:val="25"/>
          <w:szCs w:val="25"/>
        </w:rPr>
        <w:t>Гараева 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Ш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совершении административного правонарушения и квалифицирует его действия по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19.5 КоАП РФ –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повторно в течение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невыполнение в установленный срок предписаний федеральных органов, осуществляющих государственный земельный надзор, в том числе в отношении земель сельскохозяйственного назначения, или их территориальных органов об устранении нарушений земельного законодательства. 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709"/>
        <w:jc w:val="center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Гараева Малика Шахлар оглы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признать виновн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ым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26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19.5 КоАП РФ, и подвергнуть административному наказанию в виде штрафа 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размере </w:t>
      </w:r>
      <w:r>
        <w:rPr>
          <w:rFonts w:ascii="Times New Roman" w:eastAsia="Times New Roman" w:hAnsi="Times New Roman" w:cs="Times New Roman"/>
          <w:sz w:val="25"/>
          <w:szCs w:val="25"/>
        </w:rPr>
        <w:t>30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000,00 рублей.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расчетный счет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40102810245370000007 в </w:t>
      </w:r>
      <w:r>
        <w:rPr>
          <w:rFonts w:ascii="Times New Roman" w:eastAsia="Times New Roman" w:hAnsi="Times New Roman" w:cs="Times New Roman"/>
          <w:sz w:val="25"/>
          <w:szCs w:val="25"/>
        </w:rPr>
        <w:t>ОКЦ № 8 УГУ Банка России</w:t>
      </w:r>
      <w:r>
        <w:rPr>
          <w:rFonts w:ascii="Times New Roman" w:eastAsia="Times New Roman" w:hAnsi="Times New Roman" w:cs="Times New Roman"/>
          <w:sz w:val="25"/>
          <w:szCs w:val="25"/>
        </w:rPr>
        <w:t>//УФК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л/сч. 04872D08080, КБК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72011601153010005140, Получатель: УФК по ХМАО-Югре (Департамент административного обеспечения Ханты-Мансийского автономного округа-Югры); УИН: </w:t>
      </w:r>
      <w:r>
        <w:rPr>
          <w:rFonts w:ascii="Times New Roman" w:eastAsia="Times New Roman" w:hAnsi="Times New Roman" w:cs="Times New Roman"/>
        </w:rPr>
        <w:t>0412365400695020892619107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ст.32.2 КоАП РФ административный штраф должен быть уплачен лицом, привлеченным </w:t>
      </w:r>
      <w:r>
        <w:rPr>
          <w:rFonts w:ascii="Times New Roman" w:eastAsia="Times New Roman" w:hAnsi="Times New Roman" w:cs="Times New Roman"/>
          <w:sz w:val="25"/>
          <w:szCs w:val="25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Квитанцию об уплате штрафа необходимо предоставить в каб. 101 по ул. Гагарина, д. 9, г. Сургута либо направить на электронный адрес: Surgut14@mirsud86.ru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 может быть обжаловано в Сургутский городской суд Ханты-Мансийского автономного округа-Югры в течение десяти дней со дня вручения или получения копии постановления, через мирового судью судебного участка № 14 Сургутского судебного района города окружного значения Сургута.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И.о. мирового судьи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судебного участка №14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</w:t>
      </w:r>
      <w:r>
        <w:rPr>
          <w:rFonts w:ascii="Times New Roman" w:eastAsia="Times New Roman" w:hAnsi="Times New Roman" w:cs="Times New Roman"/>
          <w:sz w:val="25"/>
          <w:szCs w:val="25"/>
        </w:rPr>
        <w:t>окумент находится в деле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sz w:val="25"/>
          <w:szCs w:val="25"/>
        </w:rPr>
        <w:t>2089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47780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7rplc-10">
    <w:name w:val="cat-UserDefined grp-47 rplc-10"/>
    <w:basedOn w:val="DefaultParagraphFont"/>
  </w:style>
  <w:style w:type="character" w:customStyle="1" w:styleId="cat-UserDefinedgrp-48rplc-17">
    <w:name w:val="cat-UserDefined grp-48 rplc-17"/>
    <w:basedOn w:val="DefaultParagraphFont"/>
  </w:style>
  <w:style w:type="character" w:customStyle="1" w:styleId="cat-UserDefinedgrp-48rplc-22">
    <w:name w:val="cat-UserDefined grp-48 rplc-22"/>
    <w:basedOn w:val="DefaultParagraphFont"/>
  </w:style>
  <w:style w:type="character" w:customStyle="1" w:styleId="cat-UserDefinedgrp-49rplc-28">
    <w:name w:val="cat-UserDefined grp-49 rplc-28"/>
    <w:basedOn w:val="DefaultParagraphFont"/>
  </w:style>
  <w:style w:type="character" w:customStyle="1" w:styleId="cat-UserDefinedgrp-49rplc-64">
    <w:name w:val="cat-UserDefined grp-49 rplc-64"/>
    <w:basedOn w:val="DefaultParagraphFont"/>
  </w:style>
  <w:style w:type="character" w:customStyle="1" w:styleId="cat-UserDefinedgrp-50rplc-66">
    <w:name w:val="cat-UserDefined grp-50 rplc-66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3973E-408D-436C-AD50-41711A8CE4F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